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D2208" w14:textId="47D9CFA4" w:rsidR="006D1B63" w:rsidRPr="00CE0424" w:rsidRDefault="006D1B63" w:rsidP="006D1B63">
      <w:pPr>
        <w:pStyle w:val="3GPPHeader"/>
        <w:spacing w:after="60"/>
        <w:rPr>
          <w:sz w:val="32"/>
          <w:szCs w:val="32"/>
          <w:highlight w:val="yellow"/>
        </w:rPr>
      </w:pPr>
      <w:r w:rsidRPr="00CE0424">
        <w:t>3GPP TSG-RAN WG</w:t>
      </w:r>
      <w:r>
        <w:t xml:space="preserve">2 </w:t>
      </w:r>
      <w:r w:rsidRPr="00CE0424">
        <w:t>#</w:t>
      </w:r>
      <w:r>
        <w:t>119bis-e</w:t>
      </w:r>
      <w:r w:rsidRPr="00CE0424">
        <w:tab/>
      </w:r>
      <w:r w:rsidR="000D2082" w:rsidRPr="000D2082">
        <w:rPr>
          <w:sz w:val="32"/>
          <w:szCs w:val="32"/>
        </w:rPr>
        <w:t>R2-2210734</w:t>
      </w:r>
    </w:p>
    <w:p w14:paraId="249F6E64" w14:textId="77777777" w:rsidR="006D1B63" w:rsidRPr="00CE0424" w:rsidRDefault="006D1B63" w:rsidP="006D1B63">
      <w:pPr>
        <w:pStyle w:val="3GPPHeader"/>
      </w:pPr>
      <w:r>
        <w:t xml:space="preserve">Electronic meeting, </w:t>
      </w:r>
      <w:r w:rsidRPr="00D9310F">
        <w:t>202</w:t>
      </w:r>
      <w:r>
        <w:t>2</w:t>
      </w:r>
      <w:r w:rsidRPr="00D9310F">
        <w:t>-</w:t>
      </w:r>
      <w:r>
        <w:t>10</w:t>
      </w:r>
      <w:r w:rsidRPr="00D9310F">
        <w:t>-</w:t>
      </w:r>
      <w:r>
        <w:t>10 – 2022-10-19</w:t>
      </w:r>
    </w:p>
    <w:p w14:paraId="135AB1DF" w14:textId="77777777" w:rsidR="006D1B63" w:rsidRPr="00CE0424" w:rsidRDefault="006D1B63" w:rsidP="006D1B63">
      <w:pPr>
        <w:pStyle w:val="3GPPHeader"/>
      </w:pPr>
    </w:p>
    <w:p w14:paraId="19666CB0" w14:textId="444F0936" w:rsidR="006D1B63" w:rsidRPr="00CE0424" w:rsidRDefault="006D1B63" w:rsidP="006D1B63">
      <w:pPr>
        <w:pStyle w:val="3GPPHeader"/>
        <w:rPr>
          <w:sz w:val="22"/>
          <w:szCs w:val="22"/>
        </w:rPr>
      </w:pPr>
      <w:r w:rsidRPr="00CE0424">
        <w:rPr>
          <w:sz w:val="22"/>
          <w:szCs w:val="22"/>
        </w:rPr>
        <w:t>Agenda Item:</w:t>
      </w:r>
      <w:r w:rsidRPr="00CE0424">
        <w:rPr>
          <w:sz w:val="22"/>
          <w:szCs w:val="22"/>
        </w:rPr>
        <w:tab/>
      </w:r>
      <w:r>
        <w:rPr>
          <w:sz w:val="22"/>
          <w:szCs w:val="22"/>
        </w:rPr>
        <w:t>7.2.</w:t>
      </w:r>
      <w:r w:rsidR="0096264C">
        <w:rPr>
          <w:sz w:val="22"/>
          <w:szCs w:val="22"/>
        </w:rPr>
        <w:t>5</w:t>
      </w:r>
    </w:p>
    <w:p w14:paraId="09646A04" w14:textId="77777777" w:rsidR="006D1B63" w:rsidRPr="00CE0424" w:rsidRDefault="006D1B63" w:rsidP="006D1B63">
      <w:pPr>
        <w:pStyle w:val="3GPPHeader"/>
        <w:rPr>
          <w:sz w:val="22"/>
          <w:szCs w:val="22"/>
        </w:rPr>
      </w:pPr>
      <w:r>
        <w:rPr>
          <w:sz w:val="22"/>
          <w:szCs w:val="22"/>
        </w:rPr>
        <w:t>Source:</w:t>
      </w:r>
      <w:r w:rsidRPr="00CE0424">
        <w:rPr>
          <w:sz w:val="22"/>
          <w:szCs w:val="22"/>
        </w:rPr>
        <w:tab/>
        <w:t>Ericsson</w:t>
      </w:r>
    </w:p>
    <w:p w14:paraId="6C43D944" w14:textId="77777777" w:rsidR="006D1B63" w:rsidRPr="00CE0424" w:rsidRDefault="006D1B63" w:rsidP="006D1B63">
      <w:pPr>
        <w:pStyle w:val="3GPPHeader"/>
        <w:rPr>
          <w:sz w:val="22"/>
          <w:szCs w:val="22"/>
        </w:rPr>
      </w:pPr>
      <w:r>
        <w:rPr>
          <w:sz w:val="22"/>
          <w:szCs w:val="22"/>
        </w:rPr>
        <w:t>Title:</w:t>
      </w:r>
      <w:r w:rsidRPr="00CE0424">
        <w:rPr>
          <w:sz w:val="22"/>
          <w:szCs w:val="22"/>
        </w:rPr>
        <w:tab/>
      </w:r>
      <w:r>
        <w:rPr>
          <w:sz w:val="22"/>
          <w:szCs w:val="22"/>
        </w:rPr>
        <w:t>UE capability signalling in IoT NTN</w:t>
      </w:r>
    </w:p>
    <w:p w14:paraId="01F3004A" w14:textId="77777777" w:rsidR="006D1B63" w:rsidRPr="00CE0424" w:rsidRDefault="006D1B63" w:rsidP="006D1B63">
      <w:pPr>
        <w:pStyle w:val="3GPPHeader"/>
        <w:rPr>
          <w:sz w:val="22"/>
          <w:szCs w:val="22"/>
        </w:rPr>
      </w:pPr>
      <w:r w:rsidRPr="00CE0424">
        <w:rPr>
          <w:sz w:val="22"/>
          <w:szCs w:val="22"/>
        </w:rPr>
        <w:t>Document for:</w:t>
      </w:r>
      <w:r w:rsidRPr="00CE0424">
        <w:rPr>
          <w:sz w:val="22"/>
          <w:szCs w:val="22"/>
        </w:rPr>
        <w:tab/>
      </w:r>
      <w:r w:rsidRPr="00C667E9">
        <w:rPr>
          <w:sz w:val="22"/>
          <w:szCs w:val="22"/>
        </w:rPr>
        <w:t>Discussion, Decision</w:t>
      </w:r>
    </w:p>
    <w:p w14:paraId="625ED0A7" w14:textId="77777777" w:rsidR="006D1B63" w:rsidRPr="00CE0424" w:rsidRDefault="006D1B63" w:rsidP="006D1B63"/>
    <w:p w14:paraId="6A77723B" w14:textId="77777777" w:rsidR="006D1B63" w:rsidRPr="00CE0424" w:rsidRDefault="006D1B63" w:rsidP="006D1B63">
      <w:pPr>
        <w:pStyle w:val="Heading1"/>
      </w:pPr>
      <w:r>
        <w:t>1</w:t>
      </w:r>
      <w:r>
        <w:tab/>
      </w:r>
      <w:r w:rsidRPr="00CE0424">
        <w:t>Introduction</w:t>
      </w:r>
    </w:p>
    <w:p w14:paraId="036630EE" w14:textId="77777777" w:rsidR="006D1B63" w:rsidRPr="00172365" w:rsidRDefault="006D1B63" w:rsidP="006D1B63">
      <w:pPr>
        <w:jc w:val="both"/>
        <w:rPr>
          <w:rFonts w:ascii="Arial" w:hAnsi="Arial" w:cs="Arial"/>
          <w:lang w:eastAsia="zh-CN"/>
        </w:rPr>
      </w:pPr>
      <w:r w:rsidRPr="00172365">
        <w:rPr>
          <w:rFonts w:ascii="Arial" w:hAnsi="Arial" w:cs="Arial"/>
          <w:lang w:eastAsia="zh-CN"/>
        </w:rPr>
        <w:t>In RAN2#119bis-e, RAN2 has received an LS from SA2 regarding the reporting of IoT capabilities in NTN with the following content:</w:t>
      </w:r>
    </w:p>
    <w:p w14:paraId="026FD8BB" w14:textId="77777777" w:rsidR="006D1B63" w:rsidRPr="00172365" w:rsidRDefault="006D1B63" w:rsidP="006D1B63">
      <w:pPr>
        <w:jc w:val="both"/>
        <w:rPr>
          <w:rFonts w:ascii="Arial" w:hAnsi="Arial" w:cs="Arial"/>
          <w:lang w:eastAsia="zh-CN"/>
        </w:rPr>
      </w:pPr>
      <w:r>
        <w:rPr>
          <w:rFonts w:ascii="Arial" w:hAnsi="Arial" w:cs="Arial"/>
          <w:lang w:eastAsia="zh-CN"/>
        </w:rPr>
        <w:t>As pointed by SA2 in the LS [1], t</w:t>
      </w:r>
      <w:r w:rsidRPr="00172365">
        <w:rPr>
          <w:rFonts w:ascii="Arial" w:hAnsi="Arial" w:cs="Arial"/>
          <w:lang w:eastAsia="zh-CN"/>
        </w:rPr>
        <w:t xml:space="preserve">he downside of </w:t>
      </w:r>
      <w:r>
        <w:rPr>
          <w:rFonts w:ascii="Arial" w:hAnsi="Arial" w:cs="Arial"/>
          <w:lang w:eastAsia="zh-CN"/>
        </w:rPr>
        <w:t>agreement made in RAN2#118e</w:t>
      </w:r>
      <w:r w:rsidRPr="00172365">
        <w:rPr>
          <w:rFonts w:ascii="Arial" w:hAnsi="Arial" w:cs="Arial"/>
          <w:lang w:eastAsia="zh-CN"/>
        </w:rPr>
        <w:t xml:space="preserve"> is </w:t>
      </w:r>
      <w:r>
        <w:rPr>
          <w:rFonts w:ascii="Arial" w:hAnsi="Arial" w:cs="Arial"/>
          <w:lang w:eastAsia="zh-CN"/>
        </w:rPr>
        <w:t>the impact on</w:t>
      </w:r>
      <w:r w:rsidRPr="00172365">
        <w:rPr>
          <w:rFonts w:ascii="Arial" w:hAnsi="Arial" w:cs="Arial"/>
          <w:lang w:eastAsia="zh-CN"/>
        </w:rPr>
        <w:t xml:space="preserve"> MME, </w:t>
      </w:r>
      <w:r>
        <w:rPr>
          <w:rFonts w:ascii="Arial" w:hAnsi="Arial" w:cs="Arial"/>
          <w:lang w:eastAsia="zh-CN"/>
        </w:rPr>
        <w:t xml:space="preserve">which </w:t>
      </w:r>
      <w:r w:rsidRPr="00172365">
        <w:rPr>
          <w:rFonts w:ascii="Arial" w:hAnsi="Arial" w:cs="Arial"/>
          <w:lang w:eastAsia="zh-CN"/>
        </w:rPr>
        <w:t>requir</w:t>
      </w:r>
      <w:r>
        <w:rPr>
          <w:rFonts w:ascii="Arial" w:hAnsi="Arial" w:cs="Arial"/>
          <w:lang w:eastAsia="zh-CN"/>
        </w:rPr>
        <w:t>es</w:t>
      </w:r>
      <w:r w:rsidRPr="00172365">
        <w:rPr>
          <w:rFonts w:ascii="Arial" w:hAnsi="Arial" w:cs="Arial"/>
          <w:lang w:eastAsia="zh-CN"/>
        </w:rPr>
        <w:t xml:space="preserve"> to store multiple containers, and impacts the operation of RACS for eMTC</w:t>
      </w:r>
      <w:r>
        <w:rPr>
          <w:rFonts w:ascii="Arial" w:hAnsi="Arial" w:cs="Arial"/>
          <w:lang w:eastAsia="zh-CN"/>
        </w:rPr>
        <w:t>. Note that</w:t>
      </w:r>
      <w:r w:rsidRPr="00172365">
        <w:rPr>
          <w:rFonts w:ascii="Arial" w:hAnsi="Arial" w:cs="Arial"/>
          <w:lang w:eastAsia="zh-CN"/>
        </w:rPr>
        <w:t xml:space="preserve"> RACS is not applicable to NB-IoT. Therefore</w:t>
      </w:r>
      <w:r>
        <w:rPr>
          <w:rFonts w:ascii="Arial" w:hAnsi="Arial" w:cs="Arial"/>
          <w:lang w:eastAsia="zh-CN"/>
        </w:rPr>
        <w:t>,</w:t>
      </w:r>
      <w:r w:rsidRPr="00172365">
        <w:rPr>
          <w:rFonts w:ascii="Arial" w:hAnsi="Arial" w:cs="Arial"/>
          <w:lang w:eastAsia="zh-CN"/>
        </w:rPr>
        <w:t xml:space="preserve"> the preferred solution</w:t>
      </w:r>
      <w:r>
        <w:rPr>
          <w:rFonts w:ascii="Arial" w:hAnsi="Arial" w:cs="Arial"/>
          <w:lang w:eastAsia="zh-CN"/>
        </w:rPr>
        <w:t>, from SA2 standpoint</w:t>
      </w:r>
      <w:r w:rsidRPr="00172365">
        <w:rPr>
          <w:rFonts w:ascii="Arial" w:hAnsi="Arial" w:cs="Arial"/>
          <w:lang w:eastAsia="zh-CN"/>
        </w:rPr>
        <w:t xml:space="preserve"> is for E-UTRAN to provide a single container to the MME for all non-NB-IoT RATs (and network types i.e., TN, NTN) and a single container for NB-IoT including both TN and NTN capabilities.</w:t>
      </w:r>
    </w:p>
    <w:p w14:paraId="17DA2F3D" w14:textId="77777777" w:rsidR="006D1B63" w:rsidRPr="00172365" w:rsidRDefault="006D1B63" w:rsidP="006D1B63">
      <w:pPr>
        <w:jc w:val="both"/>
        <w:rPr>
          <w:rFonts w:ascii="Arial" w:hAnsi="Arial" w:cs="Arial"/>
          <w:lang w:eastAsia="zh-CN"/>
        </w:rPr>
      </w:pPr>
      <w:r w:rsidRPr="00172365">
        <w:rPr>
          <w:rFonts w:ascii="Arial" w:hAnsi="Arial" w:cs="Arial"/>
          <w:lang w:eastAsia="zh-CN"/>
        </w:rPr>
        <w:t>SA2 ha</w:t>
      </w:r>
      <w:r>
        <w:rPr>
          <w:rFonts w:ascii="Arial" w:hAnsi="Arial" w:cs="Arial"/>
          <w:lang w:eastAsia="zh-CN"/>
        </w:rPr>
        <w:t>s</w:t>
      </w:r>
      <w:r w:rsidRPr="00172365">
        <w:rPr>
          <w:rFonts w:ascii="Arial" w:hAnsi="Arial" w:cs="Arial"/>
          <w:lang w:eastAsia="zh-CN"/>
        </w:rPr>
        <w:t xml:space="preserve"> also </w:t>
      </w:r>
      <w:r>
        <w:rPr>
          <w:rFonts w:ascii="Arial" w:hAnsi="Arial" w:cs="Arial"/>
          <w:lang w:eastAsia="zh-CN"/>
        </w:rPr>
        <w:t>proposed other, somewhat</w:t>
      </w:r>
      <w:r w:rsidRPr="00172365">
        <w:rPr>
          <w:rFonts w:ascii="Arial" w:hAnsi="Arial" w:cs="Arial"/>
          <w:lang w:eastAsia="zh-CN"/>
        </w:rPr>
        <w:t xml:space="preserve"> less optimal solutions</w:t>
      </w:r>
      <w:r>
        <w:rPr>
          <w:rFonts w:ascii="Arial" w:hAnsi="Arial" w:cs="Arial"/>
          <w:lang w:eastAsia="zh-CN"/>
        </w:rPr>
        <w:t>, in case it is not possible for RAN2 to adopt a solution similar to what has been adopted for NR NTN. One solution</w:t>
      </w:r>
      <w:r w:rsidRPr="00172365">
        <w:rPr>
          <w:rFonts w:ascii="Arial" w:hAnsi="Arial" w:cs="Arial"/>
          <w:lang w:eastAsia="zh-CN"/>
        </w:rPr>
        <w:t xml:space="preserve"> that has minimal core network impact is if the network is configured with different Tracking Areas for TN and NTN</w:t>
      </w:r>
      <w:r>
        <w:rPr>
          <w:rFonts w:ascii="Arial" w:hAnsi="Arial" w:cs="Arial"/>
          <w:lang w:eastAsia="zh-CN"/>
        </w:rPr>
        <w:t xml:space="preserve"> network types. In idle mode, UE would perform </w:t>
      </w:r>
      <w:r w:rsidRPr="00172365">
        <w:rPr>
          <w:rFonts w:ascii="Arial" w:hAnsi="Arial" w:cs="Arial"/>
          <w:lang w:eastAsia="zh-CN"/>
        </w:rPr>
        <w:t xml:space="preserve">a TA Update </w:t>
      </w:r>
      <w:r>
        <w:rPr>
          <w:rFonts w:ascii="Arial" w:hAnsi="Arial" w:cs="Arial"/>
          <w:lang w:eastAsia="zh-CN"/>
        </w:rPr>
        <w:t xml:space="preserve">after establishing a connection and provide its capabilities when requested by the network. </w:t>
      </w:r>
      <w:r w:rsidRPr="00172365">
        <w:rPr>
          <w:rFonts w:ascii="Arial" w:hAnsi="Arial" w:cs="Arial"/>
          <w:lang w:eastAsia="zh-CN"/>
        </w:rPr>
        <w:t>I</w:t>
      </w:r>
      <w:r>
        <w:rPr>
          <w:rFonts w:ascii="Arial" w:hAnsi="Arial" w:cs="Arial"/>
          <w:lang w:eastAsia="zh-CN"/>
        </w:rPr>
        <w:t>n</w:t>
      </w:r>
      <w:r w:rsidRPr="00172365">
        <w:rPr>
          <w:rFonts w:ascii="Arial" w:hAnsi="Arial" w:cs="Arial"/>
          <w:lang w:eastAsia="zh-CN"/>
        </w:rPr>
        <w:t xml:space="preserve"> connected mode</w:t>
      </w:r>
      <w:r>
        <w:rPr>
          <w:rFonts w:ascii="Arial" w:hAnsi="Arial" w:cs="Arial"/>
          <w:lang w:eastAsia="zh-CN"/>
        </w:rPr>
        <w:t>,</w:t>
      </w:r>
      <w:r w:rsidRPr="00172365">
        <w:rPr>
          <w:rFonts w:ascii="Arial" w:hAnsi="Arial" w:cs="Arial"/>
          <w:lang w:eastAsia="zh-CN"/>
        </w:rPr>
        <w:t xml:space="preserve"> SA2 </w:t>
      </w:r>
      <w:r>
        <w:rPr>
          <w:rFonts w:ascii="Arial" w:hAnsi="Arial" w:cs="Arial"/>
          <w:lang w:eastAsia="zh-CN"/>
        </w:rPr>
        <w:t xml:space="preserve">recommends using </w:t>
      </w:r>
      <w:r w:rsidRPr="00172365">
        <w:rPr>
          <w:rFonts w:ascii="Arial" w:hAnsi="Arial" w:cs="Arial"/>
          <w:lang w:eastAsia="zh-CN"/>
        </w:rPr>
        <w:t xml:space="preserve">the solution adopted for </w:t>
      </w:r>
      <w:r>
        <w:rPr>
          <w:rFonts w:ascii="Arial" w:hAnsi="Arial" w:cs="Arial"/>
          <w:lang w:eastAsia="zh-CN"/>
        </w:rPr>
        <w:t xml:space="preserve">transition from </w:t>
      </w:r>
      <w:r w:rsidRPr="00172365">
        <w:rPr>
          <w:rFonts w:ascii="Arial" w:hAnsi="Arial" w:cs="Arial"/>
          <w:lang w:eastAsia="zh-CN"/>
        </w:rPr>
        <w:t>2G to LTE, i.e. that the source RAN supplies no LTE RAC to the target eNB.</w:t>
      </w:r>
    </w:p>
    <w:p w14:paraId="2852FE92" w14:textId="77777777" w:rsidR="006D1B63" w:rsidRPr="00172365" w:rsidRDefault="006D1B63" w:rsidP="006D1B63">
      <w:pPr>
        <w:pStyle w:val="BodyText"/>
        <w:rPr>
          <w:rFonts w:cs="Arial"/>
        </w:rPr>
      </w:pPr>
      <w:r>
        <w:rPr>
          <w:rFonts w:cs="Arial"/>
        </w:rPr>
        <w:t>In t</w:t>
      </w:r>
      <w:r w:rsidRPr="00172365">
        <w:rPr>
          <w:rFonts w:cs="Arial"/>
        </w:rPr>
        <w:t xml:space="preserve">his paper </w:t>
      </w:r>
      <w:r>
        <w:rPr>
          <w:rFonts w:cs="Arial"/>
        </w:rPr>
        <w:t>we discuss the alternatives and the feedback RAN2 can provide</w:t>
      </w:r>
      <w:r w:rsidRPr="00172365">
        <w:rPr>
          <w:rFonts w:cs="Arial"/>
        </w:rPr>
        <w:t xml:space="preserve"> to SA2.</w:t>
      </w:r>
    </w:p>
    <w:p w14:paraId="12FCF57E" w14:textId="77777777" w:rsidR="006D1B63" w:rsidRDefault="006D1B63" w:rsidP="006D1B63">
      <w:pPr>
        <w:pStyle w:val="Heading1"/>
      </w:pPr>
      <w:bookmarkStart w:id="0" w:name="_Ref178064866"/>
      <w:r>
        <w:t>2</w:t>
      </w:r>
      <w:r>
        <w:tab/>
      </w:r>
      <w:r w:rsidRPr="00CE0424">
        <w:t>Discussion</w:t>
      </w:r>
      <w:bookmarkEnd w:id="0"/>
    </w:p>
    <w:p w14:paraId="0D629D12" w14:textId="77777777" w:rsidR="006D1B63" w:rsidRPr="006D1B63" w:rsidRDefault="006D1B63" w:rsidP="006D1B63">
      <w:pPr>
        <w:jc w:val="both"/>
        <w:rPr>
          <w:rFonts w:ascii="Arial" w:hAnsi="Arial" w:cs="Arial"/>
        </w:rPr>
      </w:pPr>
      <w:r w:rsidRPr="006D1B63">
        <w:rPr>
          <w:rFonts w:ascii="Arial" w:hAnsi="Arial" w:cs="Arial"/>
        </w:rPr>
        <w:t>In RAN2#117-e and RAN2#118-e, the reporting of UE capabilities during TN/NTN mobility was discussed at length. The following agreements were made:</w:t>
      </w:r>
    </w:p>
    <w:p w14:paraId="1B307B28" w14:textId="77777777" w:rsidR="006D1B63" w:rsidRPr="006D1B63" w:rsidRDefault="006D1B63" w:rsidP="006D1B63">
      <w:pPr>
        <w:pStyle w:val="Agreement"/>
        <w:widowControl w:val="0"/>
        <w:numPr>
          <w:ilvl w:val="0"/>
          <w:numId w:val="26"/>
        </w:numPr>
        <w:jc w:val="both"/>
        <w:rPr>
          <w:rFonts w:cs="Arial"/>
          <w:b w:val="0"/>
          <w:bCs/>
          <w:szCs w:val="20"/>
        </w:rPr>
      </w:pPr>
      <w:r w:rsidRPr="006D1B63">
        <w:rPr>
          <w:rFonts w:cs="Arial"/>
          <w:b w:val="0"/>
          <w:bCs/>
          <w:szCs w:val="20"/>
        </w:rPr>
        <w:t>For NB-IoT, UE capability provided is only valid in the network type [TN, NTN] where it was provided.</w:t>
      </w:r>
    </w:p>
    <w:p w14:paraId="2DF1692D" w14:textId="77777777" w:rsidR="006D1B63" w:rsidRPr="006D1B63" w:rsidRDefault="006D1B63" w:rsidP="006D1B63">
      <w:pPr>
        <w:pStyle w:val="Agreement"/>
        <w:widowControl w:val="0"/>
        <w:numPr>
          <w:ilvl w:val="0"/>
          <w:numId w:val="26"/>
        </w:numPr>
        <w:jc w:val="both"/>
        <w:rPr>
          <w:rFonts w:cs="Arial"/>
          <w:b w:val="0"/>
          <w:bCs/>
          <w:szCs w:val="20"/>
        </w:rPr>
      </w:pPr>
      <w:r w:rsidRPr="006D1B63">
        <w:rPr>
          <w:rFonts w:cs="Arial"/>
          <w:b w:val="0"/>
          <w:bCs/>
          <w:szCs w:val="20"/>
        </w:rPr>
        <w:t xml:space="preserve">For eMTC, UE capability provided is only valid in the network type [TN, NTN] where it was provided. </w:t>
      </w:r>
    </w:p>
    <w:p w14:paraId="215CAD4E" w14:textId="77777777" w:rsidR="006D1B63" w:rsidRPr="006D1B63" w:rsidRDefault="006D1B63" w:rsidP="006D1B63">
      <w:pPr>
        <w:pStyle w:val="Agreement"/>
        <w:widowControl w:val="0"/>
        <w:numPr>
          <w:ilvl w:val="0"/>
          <w:numId w:val="26"/>
        </w:numPr>
        <w:jc w:val="both"/>
        <w:rPr>
          <w:rFonts w:cs="Arial"/>
          <w:b w:val="0"/>
          <w:bCs/>
          <w:szCs w:val="20"/>
        </w:rPr>
      </w:pPr>
      <w:r w:rsidRPr="006D1B63">
        <w:rPr>
          <w:rFonts w:cs="Arial"/>
          <w:b w:val="0"/>
          <w:bCs/>
          <w:szCs w:val="20"/>
        </w:rPr>
        <w:t>For eMTC, Inter [TN, NTN] - redirection can work. For inter [TN, NTN] - HO, the target node will not know the UE caps of target network type. R2 will not specify that HO is disallowed but expect it can only work in restricted way (if at all). R2 does not expect to work further on inter [TN, NTN] – HO in Rel-17.</w:t>
      </w:r>
    </w:p>
    <w:p w14:paraId="7B714786" w14:textId="77777777" w:rsidR="006D1B63" w:rsidRPr="006D1B63" w:rsidRDefault="006D1B63" w:rsidP="006D1B63">
      <w:pPr>
        <w:jc w:val="both"/>
        <w:rPr>
          <w:rFonts w:ascii="Arial" w:hAnsi="Arial" w:cs="Arial"/>
        </w:rPr>
      </w:pPr>
    </w:p>
    <w:p w14:paraId="43D1D6BE" w14:textId="77777777" w:rsidR="006D1B63" w:rsidRPr="00172365" w:rsidRDefault="006D1B63" w:rsidP="006D1B63">
      <w:pPr>
        <w:jc w:val="both"/>
        <w:rPr>
          <w:rFonts w:ascii="Arial" w:hAnsi="Arial" w:cs="Arial"/>
        </w:rPr>
      </w:pPr>
      <w:r w:rsidRPr="006D1B63">
        <w:rPr>
          <w:rFonts w:ascii="Arial" w:hAnsi="Arial" w:cs="Arial"/>
        </w:rPr>
        <w:t>In the LS [1],</w:t>
      </w:r>
      <w:r w:rsidRPr="00172365">
        <w:rPr>
          <w:rFonts w:ascii="Arial" w:hAnsi="Arial" w:cs="Arial"/>
        </w:rPr>
        <w:t xml:space="preserve"> SA2 </w:t>
      </w:r>
      <w:r>
        <w:rPr>
          <w:rFonts w:ascii="Arial" w:hAnsi="Arial" w:cs="Arial"/>
        </w:rPr>
        <w:t xml:space="preserve">has </w:t>
      </w:r>
      <w:r w:rsidRPr="00172365">
        <w:rPr>
          <w:rFonts w:ascii="Arial" w:hAnsi="Arial" w:cs="Arial"/>
        </w:rPr>
        <w:t>request</w:t>
      </w:r>
      <w:r>
        <w:rPr>
          <w:rFonts w:ascii="Arial" w:hAnsi="Arial" w:cs="Arial"/>
        </w:rPr>
        <w:t>ed</w:t>
      </w:r>
      <w:r w:rsidRPr="00172365">
        <w:rPr>
          <w:rFonts w:ascii="Arial" w:hAnsi="Arial" w:cs="Arial"/>
        </w:rPr>
        <w:t xml:space="preserve"> RAN2 to consider the following options:</w:t>
      </w:r>
    </w:p>
    <w:p w14:paraId="642802A0" w14:textId="77777777" w:rsidR="006D1B63" w:rsidRPr="00172365" w:rsidRDefault="006D1B63" w:rsidP="006D1B63">
      <w:pPr>
        <w:pStyle w:val="ListParagraph"/>
        <w:numPr>
          <w:ilvl w:val="0"/>
          <w:numId w:val="27"/>
        </w:numPr>
        <w:jc w:val="both"/>
        <w:rPr>
          <w:rFonts w:ascii="Arial" w:hAnsi="Arial" w:cs="Arial"/>
          <w:sz w:val="20"/>
          <w:szCs w:val="20"/>
        </w:rPr>
      </w:pPr>
      <w:r w:rsidRPr="00172365">
        <w:rPr>
          <w:rFonts w:ascii="Arial" w:hAnsi="Arial" w:cs="Arial"/>
          <w:b/>
          <w:bCs/>
          <w:sz w:val="20"/>
          <w:szCs w:val="20"/>
          <w:lang w:val="en-US"/>
        </w:rPr>
        <w:t>Option 1</w:t>
      </w:r>
      <w:r w:rsidRPr="00172365">
        <w:rPr>
          <w:rFonts w:ascii="Arial" w:hAnsi="Arial" w:cs="Arial"/>
          <w:sz w:val="20"/>
          <w:szCs w:val="20"/>
          <w:lang w:val="en-US"/>
        </w:rPr>
        <w:t>: Capabilities are provided to the MME in a single container. This is SA2’s preferred solution and it has already been adopted in NR NTN.</w:t>
      </w:r>
    </w:p>
    <w:p w14:paraId="6DF99887" w14:textId="77777777" w:rsidR="006D1B63" w:rsidRPr="00172365" w:rsidRDefault="006D1B63" w:rsidP="006D1B63">
      <w:pPr>
        <w:pStyle w:val="ListParagraph"/>
        <w:numPr>
          <w:ilvl w:val="0"/>
          <w:numId w:val="27"/>
        </w:numPr>
        <w:jc w:val="both"/>
        <w:rPr>
          <w:rFonts w:ascii="Arial" w:hAnsi="Arial" w:cs="Arial"/>
          <w:sz w:val="20"/>
          <w:szCs w:val="20"/>
        </w:rPr>
      </w:pPr>
      <w:r w:rsidRPr="00172365">
        <w:rPr>
          <w:rFonts w:ascii="Arial" w:hAnsi="Arial" w:cs="Arial"/>
          <w:b/>
          <w:bCs/>
          <w:sz w:val="20"/>
          <w:szCs w:val="20"/>
          <w:lang w:val="en-US"/>
        </w:rPr>
        <w:t>Option 2</w:t>
      </w:r>
      <w:r w:rsidRPr="00172365">
        <w:rPr>
          <w:rFonts w:ascii="Arial" w:hAnsi="Arial" w:cs="Arial"/>
          <w:sz w:val="20"/>
          <w:szCs w:val="20"/>
          <w:lang w:val="en-US"/>
        </w:rPr>
        <w:t xml:space="preserve">: </w:t>
      </w:r>
      <w:r>
        <w:rPr>
          <w:rFonts w:ascii="Arial" w:hAnsi="Arial" w:cs="Arial"/>
          <w:sz w:val="20"/>
          <w:szCs w:val="20"/>
          <w:lang w:val="en-US"/>
        </w:rPr>
        <w:t>Capabilities are provided with respect to the network type as specified today</w:t>
      </w:r>
      <w:r w:rsidRPr="00172365">
        <w:rPr>
          <w:rFonts w:ascii="Arial" w:hAnsi="Arial" w:cs="Arial"/>
          <w:sz w:val="20"/>
          <w:szCs w:val="20"/>
          <w:lang w:val="en-US"/>
        </w:rPr>
        <w:t>:</w:t>
      </w:r>
    </w:p>
    <w:p w14:paraId="1B5D5C2C" w14:textId="77777777" w:rsidR="006D1B63" w:rsidRPr="00172365" w:rsidRDefault="006D1B63" w:rsidP="006D1B63">
      <w:pPr>
        <w:pStyle w:val="ListParagraph"/>
        <w:numPr>
          <w:ilvl w:val="1"/>
          <w:numId w:val="27"/>
        </w:numPr>
        <w:jc w:val="both"/>
        <w:rPr>
          <w:rFonts w:ascii="Arial" w:hAnsi="Arial" w:cs="Arial"/>
          <w:sz w:val="20"/>
          <w:szCs w:val="20"/>
        </w:rPr>
      </w:pPr>
      <w:r w:rsidRPr="00172365">
        <w:rPr>
          <w:rFonts w:ascii="Arial" w:hAnsi="Arial" w:cs="Arial"/>
          <w:i/>
          <w:iCs/>
          <w:sz w:val="20"/>
          <w:szCs w:val="20"/>
          <w:lang w:val="en-US"/>
        </w:rPr>
        <w:t>Idle mode mobility</w:t>
      </w:r>
      <w:r w:rsidRPr="00172365">
        <w:rPr>
          <w:rFonts w:ascii="Arial" w:hAnsi="Arial" w:cs="Arial"/>
          <w:sz w:val="20"/>
          <w:szCs w:val="20"/>
          <w:lang w:val="en-US"/>
        </w:rPr>
        <w:t xml:space="preserve">: </w:t>
      </w:r>
      <w:r>
        <w:rPr>
          <w:rFonts w:ascii="Arial" w:hAnsi="Arial" w:cs="Arial"/>
          <w:sz w:val="20"/>
          <w:szCs w:val="20"/>
          <w:lang w:val="en-US"/>
        </w:rPr>
        <w:t xml:space="preserve">Different TAs are configured </w:t>
      </w:r>
      <w:r w:rsidRPr="00172365">
        <w:rPr>
          <w:rFonts w:ascii="Arial" w:hAnsi="Arial" w:cs="Arial"/>
          <w:sz w:val="20"/>
          <w:szCs w:val="20"/>
          <w:lang w:val="en-US"/>
        </w:rPr>
        <w:t>for TN and NTN</w:t>
      </w:r>
      <w:r>
        <w:rPr>
          <w:rFonts w:ascii="Arial" w:hAnsi="Arial" w:cs="Arial"/>
          <w:sz w:val="20"/>
          <w:szCs w:val="20"/>
          <w:lang w:val="en-US"/>
        </w:rPr>
        <w:t xml:space="preserve"> network types</w:t>
      </w:r>
      <w:r w:rsidRPr="00172365">
        <w:rPr>
          <w:rFonts w:ascii="Arial" w:hAnsi="Arial" w:cs="Arial"/>
          <w:sz w:val="20"/>
          <w:szCs w:val="20"/>
          <w:lang w:val="en-US"/>
        </w:rPr>
        <w:t xml:space="preserve">. The </w:t>
      </w:r>
      <w:r>
        <w:rPr>
          <w:rFonts w:ascii="Arial" w:hAnsi="Arial" w:cs="Arial"/>
          <w:sz w:val="20"/>
          <w:szCs w:val="20"/>
          <w:lang w:val="en-US"/>
        </w:rPr>
        <w:t xml:space="preserve">legacy </w:t>
      </w:r>
      <w:r w:rsidRPr="00172365">
        <w:rPr>
          <w:rFonts w:ascii="Arial" w:hAnsi="Arial" w:cs="Arial"/>
          <w:sz w:val="20"/>
          <w:szCs w:val="20"/>
          <w:lang w:val="en-US"/>
        </w:rPr>
        <w:t xml:space="preserve">TA update procedure is used </w:t>
      </w:r>
      <w:r>
        <w:rPr>
          <w:rFonts w:ascii="Arial" w:hAnsi="Arial" w:cs="Arial"/>
          <w:sz w:val="20"/>
          <w:szCs w:val="20"/>
          <w:lang w:val="en-US"/>
        </w:rPr>
        <w:t xml:space="preserve">for the network </w:t>
      </w:r>
      <w:r w:rsidRPr="00172365">
        <w:rPr>
          <w:rFonts w:ascii="Arial" w:hAnsi="Arial" w:cs="Arial"/>
          <w:sz w:val="20"/>
          <w:szCs w:val="20"/>
          <w:lang w:val="en-US"/>
        </w:rPr>
        <w:t xml:space="preserve">to </w:t>
      </w:r>
      <w:r>
        <w:rPr>
          <w:rFonts w:ascii="Arial" w:hAnsi="Arial" w:cs="Arial"/>
          <w:sz w:val="20"/>
          <w:szCs w:val="20"/>
          <w:lang w:val="en-US"/>
        </w:rPr>
        <w:t>trigger UE capability request</w:t>
      </w:r>
      <w:r w:rsidRPr="00172365">
        <w:rPr>
          <w:rFonts w:ascii="Arial" w:hAnsi="Arial" w:cs="Arial"/>
          <w:sz w:val="20"/>
          <w:szCs w:val="20"/>
          <w:lang w:val="en-US"/>
        </w:rPr>
        <w:t>.</w:t>
      </w:r>
    </w:p>
    <w:p w14:paraId="67A5B177" w14:textId="77777777" w:rsidR="006D1B63" w:rsidRPr="00172365" w:rsidRDefault="006D1B63" w:rsidP="006D1B63">
      <w:pPr>
        <w:pStyle w:val="ListParagraph"/>
        <w:numPr>
          <w:ilvl w:val="1"/>
          <w:numId w:val="27"/>
        </w:numPr>
        <w:jc w:val="both"/>
        <w:rPr>
          <w:rFonts w:ascii="Arial" w:hAnsi="Arial" w:cs="Arial"/>
          <w:sz w:val="20"/>
          <w:szCs w:val="20"/>
        </w:rPr>
      </w:pPr>
      <w:r w:rsidRPr="00172365">
        <w:rPr>
          <w:rFonts w:ascii="Arial" w:hAnsi="Arial" w:cs="Arial"/>
          <w:i/>
          <w:iCs/>
          <w:sz w:val="20"/>
          <w:szCs w:val="20"/>
          <w:lang w:val="en-US"/>
        </w:rPr>
        <w:lastRenderedPageBreak/>
        <w:t>Connected mode mobility</w:t>
      </w:r>
      <w:r w:rsidRPr="00172365">
        <w:rPr>
          <w:rFonts w:ascii="Arial" w:hAnsi="Arial" w:cs="Arial"/>
          <w:sz w:val="20"/>
          <w:szCs w:val="20"/>
          <w:lang w:val="en-US"/>
        </w:rPr>
        <w:t xml:space="preserve">: The source eNB does not provide </w:t>
      </w:r>
      <w:r>
        <w:rPr>
          <w:rFonts w:ascii="Arial" w:hAnsi="Arial" w:cs="Arial"/>
          <w:sz w:val="20"/>
          <w:szCs w:val="20"/>
          <w:lang w:val="en-US"/>
        </w:rPr>
        <w:t xml:space="preserve">the </w:t>
      </w:r>
      <w:r w:rsidRPr="00172365">
        <w:rPr>
          <w:rFonts w:ascii="Arial" w:hAnsi="Arial" w:cs="Arial"/>
          <w:sz w:val="20"/>
          <w:szCs w:val="20"/>
          <w:lang w:val="en-US"/>
        </w:rPr>
        <w:t>Radio Access Capabilities to the target eNB upon HO</w:t>
      </w:r>
      <w:r>
        <w:rPr>
          <w:rFonts w:ascii="Arial" w:hAnsi="Arial" w:cs="Arial"/>
          <w:sz w:val="20"/>
          <w:szCs w:val="20"/>
          <w:lang w:val="en-US"/>
        </w:rPr>
        <w:t xml:space="preserve"> so that such request is triggered in the target using the existing mechanisms. </w:t>
      </w:r>
    </w:p>
    <w:p w14:paraId="5A9605E2" w14:textId="77777777" w:rsidR="006D1B63" w:rsidRPr="00172365" w:rsidRDefault="006D1B63" w:rsidP="006D1B63">
      <w:pPr>
        <w:jc w:val="both"/>
        <w:rPr>
          <w:rFonts w:ascii="Arial" w:hAnsi="Arial" w:cs="Arial"/>
        </w:rPr>
      </w:pPr>
    </w:p>
    <w:p w14:paraId="486C9F45" w14:textId="77777777" w:rsidR="006D1B63" w:rsidRPr="00172365" w:rsidRDefault="006D1B63" w:rsidP="006D1B63">
      <w:pPr>
        <w:jc w:val="both"/>
        <w:rPr>
          <w:rFonts w:ascii="Arial" w:hAnsi="Arial" w:cs="Arial"/>
          <w:b/>
          <w:bCs/>
        </w:rPr>
      </w:pPr>
      <w:r w:rsidRPr="00172365">
        <w:rPr>
          <w:rFonts w:ascii="Arial" w:hAnsi="Arial" w:cs="Arial"/>
          <w:b/>
          <w:bCs/>
        </w:rPr>
        <w:t>Option 1</w:t>
      </w:r>
    </w:p>
    <w:p w14:paraId="0A26F0B0" w14:textId="77777777" w:rsidR="006D1B63" w:rsidRPr="00172365" w:rsidRDefault="006D1B63" w:rsidP="006D1B63">
      <w:pPr>
        <w:jc w:val="both"/>
        <w:rPr>
          <w:rFonts w:ascii="Arial" w:hAnsi="Arial" w:cs="Arial"/>
        </w:rPr>
      </w:pPr>
      <w:r w:rsidRPr="00172365">
        <w:rPr>
          <w:rFonts w:ascii="Arial" w:hAnsi="Arial" w:cs="Arial"/>
        </w:rPr>
        <w:t>In contrast to NR, it has been difficult for RAN2 to identify a complete list of UE capabilities that would require Io</w:t>
      </w:r>
      <w:r>
        <w:rPr>
          <w:rFonts w:ascii="Arial" w:hAnsi="Arial" w:cs="Arial"/>
        </w:rPr>
        <w:t>D</w:t>
      </w:r>
      <w:r w:rsidRPr="00172365">
        <w:rPr>
          <w:rFonts w:ascii="Arial" w:hAnsi="Arial" w:cs="Arial"/>
        </w:rPr>
        <w:t xml:space="preserve">T (Inter-Operability </w:t>
      </w:r>
      <w:r>
        <w:rPr>
          <w:rFonts w:ascii="Arial" w:hAnsi="Arial" w:cs="Arial"/>
        </w:rPr>
        <w:t xml:space="preserve">and Development </w:t>
      </w:r>
      <w:r w:rsidRPr="00172365">
        <w:rPr>
          <w:rFonts w:ascii="Arial" w:hAnsi="Arial" w:cs="Arial"/>
        </w:rPr>
        <w:t>Testing) bits</w:t>
      </w:r>
      <w:r>
        <w:rPr>
          <w:rFonts w:ascii="Arial" w:hAnsi="Arial" w:cs="Arial"/>
        </w:rPr>
        <w:t xml:space="preserve"> for NTN compliance</w:t>
      </w:r>
      <w:r w:rsidRPr="00172365">
        <w:rPr>
          <w:rFonts w:ascii="Arial" w:hAnsi="Arial" w:cs="Arial"/>
        </w:rPr>
        <w:t>, especially in the case of eMTC. There was an initial approach to differentiate capabilities in [2] and [3] but they were limited in scope to NB-IoT. In addition, some companies indicated that those lists, despite being extensive, might not be complete [4] and a considerable effort for RAN2 WG would be required to identify all possible Io</w:t>
      </w:r>
      <w:r>
        <w:rPr>
          <w:rFonts w:ascii="Arial" w:hAnsi="Arial" w:cs="Arial"/>
        </w:rPr>
        <w:t>D</w:t>
      </w:r>
      <w:r w:rsidRPr="00172365">
        <w:rPr>
          <w:rFonts w:ascii="Arial" w:hAnsi="Arial" w:cs="Arial"/>
        </w:rPr>
        <w:t>T bits that might have been missed during the SI phase, especially in case of eMTC.</w:t>
      </w:r>
    </w:p>
    <w:p w14:paraId="12EC4284" w14:textId="77777777" w:rsidR="006D1B63" w:rsidRPr="00172365" w:rsidRDefault="006D1B63" w:rsidP="006D1B63">
      <w:pPr>
        <w:jc w:val="both"/>
        <w:rPr>
          <w:rFonts w:ascii="Arial" w:hAnsi="Arial" w:cs="Arial"/>
        </w:rPr>
      </w:pPr>
    </w:p>
    <w:p w14:paraId="0CC08CBC" w14:textId="77777777" w:rsidR="006D1B63" w:rsidRPr="00F6382A" w:rsidRDefault="006D1B63" w:rsidP="006D1B63">
      <w:pPr>
        <w:pStyle w:val="Observation"/>
        <w:rPr>
          <w:rFonts w:cs="Arial"/>
        </w:rPr>
      </w:pPr>
      <w:bookmarkStart w:id="1" w:name="_Toc115431357"/>
      <w:r w:rsidRPr="009143C8">
        <w:rPr>
          <w:rFonts w:cs="Arial"/>
        </w:rPr>
        <w:t>It has been difficult for RAN2 to identify a complete list of UE capabilities that require Io</w:t>
      </w:r>
      <w:r>
        <w:rPr>
          <w:rFonts w:cs="Arial"/>
        </w:rPr>
        <w:t>D</w:t>
      </w:r>
      <w:r w:rsidRPr="009143C8">
        <w:rPr>
          <w:rFonts w:cs="Arial"/>
        </w:rPr>
        <w:t xml:space="preserve">T bits to </w:t>
      </w:r>
      <w:r>
        <w:rPr>
          <w:rFonts w:cs="Arial"/>
        </w:rPr>
        <w:t>indicate whether a certain functionality is compliant for NTN</w:t>
      </w:r>
      <w:r w:rsidRPr="009143C8">
        <w:rPr>
          <w:rFonts w:cs="Arial"/>
        </w:rPr>
        <w:t xml:space="preserve"> </w:t>
      </w:r>
      <w:r>
        <w:rPr>
          <w:rFonts w:cs="Arial"/>
        </w:rPr>
        <w:t xml:space="preserve">in </w:t>
      </w:r>
      <w:r w:rsidRPr="009143C8">
        <w:rPr>
          <w:rFonts w:cs="Arial"/>
        </w:rPr>
        <w:t>IoT NTN</w:t>
      </w:r>
      <w:r w:rsidRPr="00EA1757">
        <w:rPr>
          <w:rFonts w:cs="Arial"/>
        </w:rPr>
        <w:t>.</w:t>
      </w:r>
      <w:bookmarkEnd w:id="1"/>
    </w:p>
    <w:p w14:paraId="51E3C669" w14:textId="77777777" w:rsidR="006D1B63" w:rsidRPr="00172365" w:rsidRDefault="006D1B63" w:rsidP="006D1B63">
      <w:pPr>
        <w:jc w:val="both"/>
        <w:rPr>
          <w:rFonts w:ascii="Arial" w:hAnsi="Arial" w:cs="Arial"/>
        </w:rPr>
      </w:pPr>
    </w:p>
    <w:p w14:paraId="2A3F9A3D" w14:textId="77777777" w:rsidR="006D1B63" w:rsidRPr="00172365" w:rsidRDefault="006D1B63" w:rsidP="006D1B63">
      <w:pPr>
        <w:jc w:val="both"/>
        <w:rPr>
          <w:rFonts w:ascii="Arial" w:hAnsi="Arial" w:cs="Arial"/>
        </w:rPr>
      </w:pPr>
      <w:r>
        <w:rPr>
          <w:rFonts w:ascii="Arial" w:hAnsi="Arial" w:cs="Arial"/>
        </w:rPr>
        <w:t xml:space="preserve">Considering that ASN.1 has been frozen as of last RAN plenary meeting in September, the backwards compatibility of such solution, and the need for </w:t>
      </w:r>
      <w:r w:rsidRPr="00172365">
        <w:rPr>
          <w:rFonts w:ascii="Arial" w:hAnsi="Arial" w:cs="Arial"/>
        </w:rPr>
        <w:t>extensive analysis</w:t>
      </w:r>
      <w:r>
        <w:rPr>
          <w:rFonts w:ascii="Arial" w:hAnsi="Arial" w:cs="Arial"/>
        </w:rPr>
        <w:t xml:space="preserve">, </w:t>
      </w:r>
      <w:r w:rsidRPr="00172365">
        <w:rPr>
          <w:rFonts w:ascii="Arial" w:hAnsi="Arial" w:cs="Arial"/>
        </w:rPr>
        <w:t xml:space="preserve">single container option proposed by SA2 </w:t>
      </w:r>
      <w:r>
        <w:rPr>
          <w:rFonts w:ascii="Arial" w:hAnsi="Arial" w:cs="Arial"/>
        </w:rPr>
        <w:t xml:space="preserve">does not seem to </w:t>
      </w:r>
      <w:r w:rsidRPr="00172365">
        <w:rPr>
          <w:rFonts w:ascii="Arial" w:hAnsi="Arial" w:cs="Arial"/>
        </w:rPr>
        <w:t>be a feasible solution.</w:t>
      </w:r>
    </w:p>
    <w:p w14:paraId="650CE5CF" w14:textId="77777777" w:rsidR="006D1B63" w:rsidRPr="00172365" w:rsidRDefault="006D1B63" w:rsidP="006D1B63">
      <w:pPr>
        <w:jc w:val="both"/>
        <w:rPr>
          <w:rFonts w:ascii="Arial" w:hAnsi="Arial" w:cs="Arial"/>
        </w:rPr>
      </w:pPr>
    </w:p>
    <w:p w14:paraId="3AD91343" w14:textId="77777777" w:rsidR="006D1B63" w:rsidRPr="00172365" w:rsidRDefault="006D1B63" w:rsidP="006D1B63">
      <w:pPr>
        <w:jc w:val="both"/>
        <w:rPr>
          <w:rFonts w:ascii="Arial" w:hAnsi="Arial" w:cs="Arial"/>
          <w:b/>
          <w:bCs/>
        </w:rPr>
      </w:pPr>
      <w:r w:rsidRPr="00172365">
        <w:rPr>
          <w:rFonts w:ascii="Arial" w:hAnsi="Arial" w:cs="Arial"/>
          <w:b/>
          <w:bCs/>
        </w:rPr>
        <w:t>Option 2</w:t>
      </w:r>
    </w:p>
    <w:p w14:paraId="34C4BBBF" w14:textId="77777777" w:rsidR="006D1B63" w:rsidRPr="00172365" w:rsidRDefault="006D1B63" w:rsidP="006D1B63">
      <w:pPr>
        <w:jc w:val="both"/>
        <w:rPr>
          <w:rFonts w:ascii="Arial" w:hAnsi="Arial" w:cs="Arial"/>
        </w:rPr>
      </w:pPr>
      <w:r w:rsidRPr="00172365">
        <w:rPr>
          <w:rFonts w:ascii="Arial" w:hAnsi="Arial" w:cs="Arial"/>
        </w:rPr>
        <w:t xml:space="preserve">For idle mode, </w:t>
      </w:r>
      <w:r>
        <w:rPr>
          <w:rFonts w:ascii="Arial" w:hAnsi="Arial" w:cs="Arial"/>
        </w:rPr>
        <w:t xml:space="preserve">configuring </w:t>
      </w:r>
      <w:r w:rsidRPr="00172365">
        <w:rPr>
          <w:rFonts w:ascii="Arial" w:hAnsi="Arial" w:cs="Arial"/>
        </w:rPr>
        <w:t xml:space="preserve">different TAs for TN and NTN </w:t>
      </w:r>
      <w:r>
        <w:rPr>
          <w:rFonts w:ascii="Arial" w:hAnsi="Arial" w:cs="Arial"/>
        </w:rPr>
        <w:t xml:space="preserve">network types and using </w:t>
      </w:r>
      <w:r>
        <w:rPr>
          <w:rFonts w:ascii="Arial" w:hAnsi="Arial" w:cs="Arial"/>
          <w:lang w:val="en-US"/>
        </w:rPr>
        <w:t>t</w:t>
      </w:r>
      <w:r w:rsidRPr="00CC2F2A">
        <w:rPr>
          <w:rFonts w:ascii="Arial" w:hAnsi="Arial" w:cs="Arial"/>
          <w:lang w:val="en-US"/>
        </w:rPr>
        <w:t xml:space="preserve">he </w:t>
      </w:r>
      <w:r>
        <w:rPr>
          <w:rFonts w:ascii="Arial" w:hAnsi="Arial" w:cs="Arial"/>
          <w:lang w:val="en-US"/>
        </w:rPr>
        <w:t xml:space="preserve">legacy </w:t>
      </w:r>
      <w:r w:rsidRPr="00CC2F2A">
        <w:rPr>
          <w:rFonts w:ascii="Arial" w:hAnsi="Arial" w:cs="Arial"/>
          <w:lang w:val="en-US"/>
        </w:rPr>
        <w:t xml:space="preserve">TA update procedure </w:t>
      </w:r>
      <w:r>
        <w:rPr>
          <w:rFonts w:ascii="Arial" w:hAnsi="Arial" w:cs="Arial"/>
          <w:lang w:val="en-US"/>
        </w:rPr>
        <w:t xml:space="preserve">for the network </w:t>
      </w:r>
      <w:r w:rsidRPr="00CC2F2A">
        <w:rPr>
          <w:rFonts w:ascii="Arial" w:hAnsi="Arial" w:cs="Arial"/>
          <w:lang w:val="en-US"/>
        </w:rPr>
        <w:t xml:space="preserve">to </w:t>
      </w:r>
      <w:r>
        <w:rPr>
          <w:rFonts w:ascii="Arial" w:hAnsi="Arial" w:cs="Arial"/>
          <w:lang w:val="en-US"/>
        </w:rPr>
        <w:t xml:space="preserve">trigger UE capability request seems to be a feasible solution with no impact from specification standpoint especially considering that </w:t>
      </w:r>
      <w:r w:rsidRPr="00172365">
        <w:rPr>
          <w:rFonts w:ascii="Arial" w:hAnsi="Arial" w:cs="Arial"/>
        </w:rPr>
        <w:t xml:space="preserve">SA2 has already agreed on </w:t>
      </w:r>
      <w:r>
        <w:rPr>
          <w:rFonts w:ascii="Arial" w:hAnsi="Arial" w:cs="Arial"/>
        </w:rPr>
        <w:t xml:space="preserve">the possibility to configure </w:t>
      </w:r>
      <w:r w:rsidRPr="00172365">
        <w:rPr>
          <w:rFonts w:ascii="Arial" w:hAnsi="Arial" w:cs="Arial"/>
        </w:rPr>
        <w:t>separate TAIs for TN and NTN access.</w:t>
      </w:r>
    </w:p>
    <w:p w14:paraId="7A635005" w14:textId="77777777" w:rsidR="006D1B63" w:rsidRPr="00172365" w:rsidRDefault="006D1B63" w:rsidP="006D1B63">
      <w:pPr>
        <w:jc w:val="both"/>
        <w:rPr>
          <w:rFonts w:ascii="Arial" w:hAnsi="Arial" w:cs="Arial"/>
        </w:rPr>
      </w:pPr>
      <w:r w:rsidRPr="00172365">
        <w:rPr>
          <w:rFonts w:ascii="Arial" w:hAnsi="Arial" w:cs="Arial"/>
        </w:rPr>
        <w:t xml:space="preserve">For connected mode, the fact that the target node does not know the UE Radio Access capabilities during handover does not disable or restrict </w:t>
      </w:r>
      <w:r>
        <w:rPr>
          <w:rFonts w:ascii="Arial" w:hAnsi="Arial" w:cs="Arial"/>
        </w:rPr>
        <w:t xml:space="preserve">performing such </w:t>
      </w:r>
      <w:r w:rsidRPr="00172365">
        <w:rPr>
          <w:rFonts w:ascii="Arial" w:hAnsi="Arial" w:cs="Arial"/>
        </w:rPr>
        <w:t>the procedure. The network may request via a UE capability inquiry the UE capabilities when the UE connects to the target cell</w:t>
      </w:r>
      <w:r>
        <w:rPr>
          <w:rFonts w:ascii="Arial" w:hAnsi="Arial" w:cs="Arial"/>
        </w:rPr>
        <w:t xml:space="preserve"> and the UE provides such capabilities with respect to whether the network type is TN or NTN</w:t>
      </w:r>
      <w:r w:rsidRPr="00172365">
        <w:rPr>
          <w:rFonts w:ascii="Arial" w:hAnsi="Arial" w:cs="Arial"/>
        </w:rPr>
        <w:t xml:space="preserve">. </w:t>
      </w:r>
      <w:r>
        <w:rPr>
          <w:rFonts w:ascii="Arial" w:hAnsi="Arial" w:cs="Arial"/>
        </w:rPr>
        <w:t>In the past, s</w:t>
      </w:r>
      <w:r w:rsidRPr="00172365">
        <w:rPr>
          <w:rFonts w:ascii="Arial" w:hAnsi="Arial" w:cs="Arial"/>
        </w:rPr>
        <w:t xml:space="preserve">ome companies raised concerns that inquiring capabilities upon TN/NTN handover might increase the service interruption time. This is true but the extra time </w:t>
      </w:r>
      <w:r>
        <w:rPr>
          <w:rFonts w:ascii="Arial" w:hAnsi="Arial" w:cs="Arial"/>
        </w:rPr>
        <w:t>is</w:t>
      </w:r>
      <w:r w:rsidRPr="00172365">
        <w:rPr>
          <w:rFonts w:ascii="Arial" w:hAnsi="Arial" w:cs="Arial"/>
        </w:rPr>
        <w:t xml:space="preserve"> negligible compared with the time required</w:t>
      </w:r>
      <w:r>
        <w:rPr>
          <w:rFonts w:ascii="Arial" w:hAnsi="Arial" w:cs="Arial"/>
        </w:rPr>
        <w:t>, for example,</w:t>
      </w:r>
      <w:r w:rsidRPr="00172365">
        <w:rPr>
          <w:rFonts w:ascii="Arial" w:hAnsi="Arial" w:cs="Arial"/>
        </w:rPr>
        <w:t xml:space="preserve"> to acquire a GNSS fix which is needed to access NTN.</w:t>
      </w:r>
    </w:p>
    <w:p w14:paraId="4F01D484" w14:textId="77777777" w:rsidR="006D1B63" w:rsidRPr="00172365" w:rsidRDefault="006D1B63" w:rsidP="006D1B63">
      <w:pPr>
        <w:jc w:val="both"/>
        <w:rPr>
          <w:rFonts w:ascii="Arial" w:hAnsi="Arial" w:cs="Arial"/>
        </w:rPr>
      </w:pPr>
    </w:p>
    <w:p w14:paraId="144299CE" w14:textId="77777777" w:rsidR="006D1B63" w:rsidRPr="00EA1757" w:rsidRDefault="006D1B63" w:rsidP="006D1B63">
      <w:pPr>
        <w:pStyle w:val="Proposal"/>
        <w:tabs>
          <w:tab w:val="clear" w:pos="1304"/>
        </w:tabs>
        <w:ind w:left="1701" w:hanging="1701"/>
        <w:rPr>
          <w:rFonts w:cs="Arial"/>
        </w:rPr>
      </w:pPr>
      <w:bookmarkStart w:id="2" w:name="_Toc115431359"/>
      <w:r>
        <w:rPr>
          <w:rFonts w:cs="Arial"/>
        </w:rPr>
        <w:t>RAN2 prefers option 2 (no specification impact is expected)</w:t>
      </w:r>
      <w:r w:rsidRPr="009143C8">
        <w:rPr>
          <w:rFonts w:cs="Arial"/>
        </w:rPr>
        <w:t>.</w:t>
      </w:r>
      <w:bookmarkEnd w:id="2"/>
    </w:p>
    <w:p w14:paraId="5A13431C" w14:textId="77777777" w:rsidR="006D1B63" w:rsidRPr="00172365" w:rsidRDefault="006D1B63" w:rsidP="006D1B63">
      <w:pPr>
        <w:jc w:val="both"/>
        <w:rPr>
          <w:rFonts w:ascii="Arial" w:hAnsi="Arial" w:cs="Arial"/>
        </w:rPr>
      </w:pPr>
    </w:p>
    <w:p w14:paraId="300269C1" w14:textId="77777777" w:rsidR="006D1B63" w:rsidRPr="00172365" w:rsidRDefault="006D1B63" w:rsidP="006D1B63">
      <w:pPr>
        <w:jc w:val="both"/>
        <w:rPr>
          <w:rFonts w:ascii="Arial" w:hAnsi="Arial" w:cs="Arial"/>
        </w:rPr>
      </w:pPr>
    </w:p>
    <w:p w14:paraId="679FF01F" w14:textId="77777777" w:rsidR="006D1B63" w:rsidRPr="00CE0424" w:rsidRDefault="006D1B63" w:rsidP="006D1B63">
      <w:pPr>
        <w:pStyle w:val="Heading1"/>
      </w:pPr>
      <w:r>
        <w:t>3</w:t>
      </w:r>
      <w:r>
        <w:tab/>
      </w:r>
      <w:r w:rsidRPr="00CE0424">
        <w:t>Conclusion</w:t>
      </w:r>
    </w:p>
    <w:p w14:paraId="7DCBBB63" w14:textId="77777777" w:rsidR="006D1B63" w:rsidRDefault="006D1B63" w:rsidP="006D1B63">
      <w:pPr>
        <w:pStyle w:val="BodyText"/>
        <w:rPr>
          <w:b/>
          <w:bCs/>
        </w:rPr>
      </w:pPr>
      <w:r>
        <w:t>In the previous sections</w:t>
      </w:r>
      <w:r w:rsidRPr="00CE0424">
        <w:t xml:space="preserve"> we </w:t>
      </w:r>
      <w:r>
        <w:t>made the following observations</w:t>
      </w:r>
      <w:r w:rsidRPr="00CE0424">
        <w:t>:</w:t>
      </w:r>
      <w:r>
        <w:rPr>
          <w:b/>
          <w:bCs/>
        </w:rPr>
        <w:t xml:space="preserve"> </w:t>
      </w:r>
    </w:p>
    <w:p w14:paraId="1B7DC5B2" w14:textId="5A8E0665" w:rsidR="00FE6906" w:rsidRDefault="006D1B63">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5431357" w:history="1">
        <w:r w:rsidR="00FE6906" w:rsidRPr="004A6B11">
          <w:rPr>
            <w:rStyle w:val="Hyperlink"/>
            <w:rFonts w:cs="Arial"/>
            <w:noProof/>
          </w:rPr>
          <w:t>Observation 1</w:t>
        </w:r>
        <w:r w:rsidR="00FE6906">
          <w:rPr>
            <w:rFonts w:asciiTheme="minorHAnsi" w:eastAsiaTheme="minorEastAsia" w:hAnsiTheme="minorHAnsi" w:cstheme="minorBidi"/>
            <w:b w:val="0"/>
            <w:noProof/>
            <w:sz w:val="22"/>
            <w:szCs w:val="22"/>
            <w:lang w:val="en-SE" w:eastAsia="en-SE"/>
          </w:rPr>
          <w:tab/>
        </w:r>
        <w:r w:rsidR="00FE6906" w:rsidRPr="004A6B11">
          <w:rPr>
            <w:rStyle w:val="Hyperlink"/>
            <w:rFonts w:cs="Arial"/>
            <w:noProof/>
          </w:rPr>
          <w:t>It has been difficult for RAN2 to identify a complete list of UE capabilities that require IoDT bits to indicate whether a certain functionality is compliant for NTN in IoT NTN.</w:t>
        </w:r>
      </w:hyperlink>
    </w:p>
    <w:p w14:paraId="46891082" w14:textId="4315FBEE" w:rsidR="006D1B63" w:rsidRDefault="006D1B63" w:rsidP="006D1B63">
      <w:pPr>
        <w:pStyle w:val="BodyText"/>
        <w:rPr>
          <w:b/>
          <w:bCs/>
        </w:rPr>
      </w:pPr>
      <w:r>
        <w:rPr>
          <w:b/>
          <w:bCs/>
        </w:rPr>
        <w:fldChar w:fldCharType="end"/>
      </w:r>
    </w:p>
    <w:p w14:paraId="42E88539" w14:textId="77777777" w:rsidR="006D1B63" w:rsidRDefault="006D1B63" w:rsidP="006D1B63">
      <w:pPr>
        <w:pStyle w:val="BodyText"/>
      </w:pPr>
      <w:r w:rsidRPr="00CE0424">
        <w:t xml:space="preserve">Based on the discussion in </w:t>
      </w:r>
      <w:r>
        <w:t xml:space="preserve">the previous </w:t>
      </w:r>
      <w:r w:rsidRPr="00CE0424">
        <w:t>section</w:t>
      </w:r>
      <w:r>
        <w:t>s</w:t>
      </w:r>
      <w:r w:rsidRPr="00CE0424">
        <w:t xml:space="preserve"> we propose the following:</w:t>
      </w:r>
    </w:p>
    <w:p w14:paraId="6A439435" w14:textId="61FD8886" w:rsidR="00FE6906" w:rsidRDefault="006D1B63">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431359" w:history="1">
        <w:r w:rsidR="00FE6906" w:rsidRPr="00BF4044">
          <w:rPr>
            <w:rStyle w:val="Hyperlink"/>
            <w:rFonts w:cs="Arial"/>
            <w:noProof/>
          </w:rPr>
          <w:t>Proposal 1</w:t>
        </w:r>
        <w:r w:rsidR="00FE6906">
          <w:rPr>
            <w:rFonts w:asciiTheme="minorHAnsi" w:eastAsiaTheme="minorEastAsia" w:hAnsiTheme="minorHAnsi" w:cstheme="minorBidi"/>
            <w:b w:val="0"/>
            <w:noProof/>
            <w:sz w:val="22"/>
            <w:szCs w:val="22"/>
            <w:lang w:val="en-SE" w:eastAsia="en-SE"/>
          </w:rPr>
          <w:tab/>
        </w:r>
        <w:r w:rsidR="00FE6906" w:rsidRPr="00BF4044">
          <w:rPr>
            <w:rStyle w:val="Hyperlink"/>
            <w:rFonts w:cs="Arial"/>
            <w:noProof/>
          </w:rPr>
          <w:t>RAN2 prefers option 2 (no specification impact is expected).</w:t>
        </w:r>
      </w:hyperlink>
    </w:p>
    <w:p w14:paraId="0A0B09DB" w14:textId="3D99A7E5" w:rsidR="006D1B63" w:rsidRPr="00CE0424" w:rsidRDefault="006D1B63" w:rsidP="006D1B63">
      <w:pPr>
        <w:pStyle w:val="BodyText"/>
        <w:rPr>
          <w:b/>
          <w:bCs/>
        </w:rPr>
      </w:pPr>
      <w:r>
        <w:rPr>
          <w:b/>
          <w:bCs/>
          <w:lang w:val="en-US"/>
        </w:rPr>
        <w:fldChar w:fldCharType="end"/>
      </w:r>
      <w:r w:rsidRPr="00CE0424">
        <w:rPr>
          <w:b/>
          <w:bCs/>
        </w:rPr>
        <w:t xml:space="preserve"> </w:t>
      </w:r>
    </w:p>
    <w:p w14:paraId="6485DDD0" w14:textId="77777777" w:rsidR="006D1B63" w:rsidRPr="00CE0424" w:rsidRDefault="006D1B63" w:rsidP="006D1B63"/>
    <w:p w14:paraId="7E9B6ACC" w14:textId="77777777" w:rsidR="006D1B63" w:rsidRPr="00CE0424" w:rsidRDefault="006D1B63" w:rsidP="006D1B63">
      <w:pPr>
        <w:pStyle w:val="Heading1"/>
      </w:pPr>
      <w:bookmarkStart w:id="3" w:name="_In-sequence_SDU_delivery"/>
      <w:bookmarkEnd w:id="3"/>
      <w:r w:rsidRPr="00CE0424">
        <w:t>References</w:t>
      </w:r>
    </w:p>
    <w:p w14:paraId="2B5D0614" w14:textId="77777777" w:rsidR="006D1B63" w:rsidRDefault="006D1B63" w:rsidP="006D1B63">
      <w:pPr>
        <w:pStyle w:val="Reference"/>
      </w:pPr>
      <w:bookmarkStart w:id="4" w:name="_Ref174151459"/>
      <w:bookmarkStart w:id="5" w:name="_Ref189809556"/>
      <w:r w:rsidRPr="00BD2521">
        <w:t>R2-2209359</w:t>
      </w:r>
      <w:r>
        <w:t xml:space="preserve">, </w:t>
      </w:r>
      <w:r w:rsidRPr="00BB2B6C">
        <w:t>Reply to LS on UE capability signalling for IoT-NTN</w:t>
      </w:r>
      <w:r>
        <w:t>, Vodafone, SA2#152-e, August 2022.</w:t>
      </w:r>
    </w:p>
    <w:p w14:paraId="2ABEEB62" w14:textId="77777777" w:rsidR="006D1B63" w:rsidRDefault="006D1B63" w:rsidP="006D1B63">
      <w:pPr>
        <w:pStyle w:val="Reference"/>
      </w:pPr>
      <w:r w:rsidRPr="00CA6BE2">
        <w:t>R2-2205333</w:t>
      </w:r>
      <w:r>
        <w:t xml:space="preserve">, </w:t>
      </w:r>
      <w:r w:rsidRPr="009078D4">
        <w:t>TN-NTN differentiation for NB-IoT</w:t>
      </w:r>
      <w:r>
        <w:t xml:space="preserve">, </w:t>
      </w:r>
      <w:r w:rsidRPr="004B2F6B">
        <w:t>Huawei, HiSilicon</w:t>
      </w:r>
      <w:r>
        <w:t>, RAN2#118-e, May 2022.</w:t>
      </w:r>
    </w:p>
    <w:p w14:paraId="7958D854" w14:textId="77777777" w:rsidR="006D1B63" w:rsidRDefault="006D1B63" w:rsidP="006D1B63">
      <w:pPr>
        <w:pStyle w:val="Reference"/>
      </w:pPr>
      <w:r w:rsidRPr="009078D4">
        <w:t>R2-2205601</w:t>
      </w:r>
      <w:bookmarkEnd w:id="4"/>
      <w:bookmarkEnd w:id="5"/>
      <w:r>
        <w:t xml:space="preserve">, </w:t>
      </w:r>
      <w:r w:rsidRPr="00C109CC">
        <w:t>On Capability Indication of existing IoT-Features for NTN connectivity</w:t>
      </w:r>
      <w:r>
        <w:t xml:space="preserve">, </w:t>
      </w:r>
      <w:r w:rsidRPr="00993CE2">
        <w:t>Nokia, Nokia Shanghai Bell</w:t>
      </w:r>
      <w:r>
        <w:t>, RAN2#118-e, May 2022.</w:t>
      </w:r>
    </w:p>
    <w:p w14:paraId="60700487" w14:textId="77777777" w:rsidR="006D1B63" w:rsidRPr="00CE0424" w:rsidRDefault="006D1B63" w:rsidP="006D1B63">
      <w:pPr>
        <w:pStyle w:val="Reference"/>
      </w:pPr>
      <w:r>
        <w:t>R2-2xxxxxx, Skeleton notes, RAN Chairman, MediaTek, RAN2#118-e, May 2022.</w:t>
      </w:r>
    </w:p>
    <w:p w14:paraId="188F1296" w14:textId="1CF9F8DE" w:rsidR="00D82E69" w:rsidRPr="006D1B63" w:rsidRDefault="00D82E69" w:rsidP="006D1B63"/>
    <w:sectPr w:rsidR="00D82E69" w:rsidRPr="006D1B63"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A174F" w14:textId="77777777" w:rsidR="00AF7A3E" w:rsidRDefault="00AF7A3E">
      <w:r>
        <w:separator/>
      </w:r>
    </w:p>
  </w:endnote>
  <w:endnote w:type="continuationSeparator" w:id="0">
    <w:p w14:paraId="4C6BB7D2" w14:textId="77777777" w:rsidR="00AF7A3E" w:rsidRDefault="00AF7A3E">
      <w:r>
        <w:continuationSeparator/>
      </w:r>
    </w:p>
  </w:endnote>
  <w:endnote w:type="continuationNotice" w:id="1">
    <w:p w14:paraId="1E8F1223" w14:textId="77777777" w:rsidR="0018245C" w:rsidRDefault="001824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1CE43" w14:textId="77777777" w:rsidR="00AF7A3E" w:rsidRDefault="00AF7A3E">
      <w:r>
        <w:separator/>
      </w:r>
    </w:p>
  </w:footnote>
  <w:footnote w:type="continuationSeparator" w:id="0">
    <w:p w14:paraId="4C293FFE" w14:textId="77777777" w:rsidR="00AF7A3E" w:rsidRDefault="00AF7A3E">
      <w:r>
        <w:continuationSeparator/>
      </w:r>
    </w:p>
  </w:footnote>
  <w:footnote w:type="continuationNotice" w:id="1">
    <w:p w14:paraId="07B4DDD7" w14:textId="77777777" w:rsidR="0018245C" w:rsidRDefault="001824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pStyle w:val="Agreement"/>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5B17C7F"/>
    <w:multiLevelType w:val="hybridMultilevel"/>
    <w:tmpl w:val="14729C98"/>
    <w:lvl w:ilvl="0" w:tplc="B018FC34">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385A0E"/>
    <w:multiLevelType w:val="hybridMultilevel"/>
    <w:tmpl w:val="1ED8A31C"/>
    <w:lvl w:ilvl="0" w:tplc="40090001">
      <w:start w:val="1"/>
      <w:numFmt w:val="bullet"/>
      <w:lvlText w:val=""/>
      <w:lvlJc w:val="left"/>
      <w:pPr>
        <w:ind w:left="785" w:hanging="360"/>
      </w:pPr>
      <w:rPr>
        <w:rFonts w:ascii="Symbol" w:hAnsi="Symbol" w:hint="default"/>
      </w:rPr>
    </w:lvl>
    <w:lvl w:ilvl="1" w:tplc="40090003" w:tentative="1">
      <w:start w:val="1"/>
      <w:numFmt w:val="bullet"/>
      <w:lvlText w:val="o"/>
      <w:lvlJc w:val="left"/>
      <w:pPr>
        <w:ind w:left="1505" w:hanging="360"/>
      </w:pPr>
      <w:rPr>
        <w:rFonts w:ascii="Courier New" w:hAnsi="Courier New" w:cs="Courier New" w:hint="default"/>
      </w:rPr>
    </w:lvl>
    <w:lvl w:ilvl="2" w:tplc="40090005" w:tentative="1">
      <w:start w:val="1"/>
      <w:numFmt w:val="bullet"/>
      <w:lvlText w:val=""/>
      <w:lvlJc w:val="left"/>
      <w:pPr>
        <w:ind w:left="2225" w:hanging="360"/>
      </w:pPr>
      <w:rPr>
        <w:rFonts w:ascii="Wingdings" w:hAnsi="Wingdings" w:hint="default"/>
      </w:rPr>
    </w:lvl>
    <w:lvl w:ilvl="3" w:tplc="40090001" w:tentative="1">
      <w:start w:val="1"/>
      <w:numFmt w:val="bullet"/>
      <w:lvlText w:val=""/>
      <w:lvlJc w:val="left"/>
      <w:pPr>
        <w:ind w:left="2945" w:hanging="360"/>
      </w:pPr>
      <w:rPr>
        <w:rFonts w:ascii="Symbol" w:hAnsi="Symbol" w:hint="default"/>
      </w:rPr>
    </w:lvl>
    <w:lvl w:ilvl="4" w:tplc="40090003" w:tentative="1">
      <w:start w:val="1"/>
      <w:numFmt w:val="bullet"/>
      <w:lvlText w:val="o"/>
      <w:lvlJc w:val="left"/>
      <w:pPr>
        <w:ind w:left="3665" w:hanging="360"/>
      </w:pPr>
      <w:rPr>
        <w:rFonts w:ascii="Courier New" w:hAnsi="Courier New" w:cs="Courier New" w:hint="default"/>
      </w:rPr>
    </w:lvl>
    <w:lvl w:ilvl="5" w:tplc="40090005" w:tentative="1">
      <w:start w:val="1"/>
      <w:numFmt w:val="bullet"/>
      <w:lvlText w:val=""/>
      <w:lvlJc w:val="left"/>
      <w:pPr>
        <w:ind w:left="4385" w:hanging="360"/>
      </w:pPr>
      <w:rPr>
        <w:rFonts w:ascii="Wingdings" w:hAnsi="Wingdings" w:hint="default"/>
      </w:rPr>
    </w:lvl>
    <w:lvl w:ilvl="6" w:tplc="40090001" w:tentative="1">
      <w:start w:val="1"/>
      <w:numFmt w:val="bullet"/>
      <w:lvlText w:val=""/>
      <w:lvlJc w:val="left"/>
      <w:pPr>
        <w:ind w:left="5105" w:hanging="360"/>
      </w:pPr>
      <w:rPr>
        <w:rFonts w:ascii="Symbol" w:hAnsi="Symbol" w:hint="default"/>
      </w:rPr>
    </w:lvl>
    <w:lvl w:ilvl="7" w:tplc="40090003" w:tentative="1">
      <w:start w:val="1"/>
      <w:numFmt w:val="bullet"/>
      <w:lvlText w:val="o"/>
      <w:lvlJc w:val="left"/>
      <w:pPr>
        <w:ind w:left="5825" w:hanging="360"/>
      </w:pPr>
      <w:rPr>
        <w:rFonts w:ascii="Courier New" w:hAnsi="Courier New" w:cs="Courier New" w:hint="default"/>
      </w:rPr>
    </w:lvl>
    <w:lvl w:ilvl="8" w:tplc="40090005" w:tentative="1">
      <w:start w:val="1"/>
      <w:numFmt w:val="bullet"/>
      <w:lvlText w:val=""/>
      <w:lvlJc w:val="left"/>
      <w:pPr>
        <w:ind w:left="6545"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3"/>
  </w:num>
  <w:num w:numId="21">
    <w:abstractNumId w:val="10"/>
  </w:num>
  <w:num w:numId="22">
    <w:abstractNumId w:val="21"/>
  </w:num>
  <w:num w:numId="23">
    <w:abstractNumId w:val="11"/>
  </w:num>
  <w:num w:numId="24">
    <w:abstractNumId w:val="11"/>
  </w:num>
  <w:num w:numId="25">
    <w:abstractNumId w:val="24"/>
  </w:num>
  <w:num w:numId="26">
    <w:abstractNumId w:val="22"/>
  </w:num>
  <w:num w:numId="2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803"/>
    <w:rsid w:val="00077E5F"/>
    <w:rsid w:val="0008036A"/>
    <w:rsid w:val="00081AE6"/>
    <w:rsid w:val="000855EB"/>
    <w:rsid w:val="00085B52"/>
    <w:rsid w:val="000866F2"/>
    <w:rsid w:val="0009009F"/>
    <w:rsid w:val="00091557"/>
    <w:rsid w:val="000924C1"/>
    <w:rsid w:val="000924F0"/>
    <w:rsid w:val="00093474"/>
    <w:rsid w:val="0009510F"/>
    <w:rsid w:val="000A11AB"/>
    <w:rsid w:val="000A1B7B"/>
    <w:rsid w:val="000A56F2"/>
    <w:rsid w:val="000B2719"/>
    <w:rsid w:val="000B3A8F"/>
    <w:rsid w:val="000B4AB9"/>
    <w:rsid w:val="000B58C3"/>
    <w:rsid w:val="000B61E9"/>
    <w:rsid w:val="000C165A"/>
    <w:rsid w:val="000C2E19"/>
    <w:rsid w:val="000D0D07"/>
    <w:rsid w:val="000D2082"/>
    <w:rsid w:val="000D4797"/>
    <w:rsid w:val="000E0527"/>
    <w:rsid w:val="000E1E92"/>
    <w:rsid w:val="000F06D6"/>
    <w:rsid w:val="000F0EB1"/>
    <w:rsid w:val="000F1106"/>
    <w:rsid w:val="000F3BE9"/>
    <w:rsid w:val="000F3F6C"/>
    <w:rsid w:val="000F6DF3"/>
    <w:rsid w:val="001005FF"/>
    <w:rsid w:val="00104D2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23"/>
    <w:rsid w:val="00151E23"/>
    <w:rsid w:val="001526E0"/>
    <w:rsid w:val="001551B5"/>
    <w:rsid w:val="00155373"/>
    <w:rsid w:val="001659C1"/>
    <w:rsid w:val="00173A8E"/>
    <w:rsid w:val="0017502C"/>
    <w:rsid w:val="0018143F"/>
    <w:rsid w:val="00181FF8"/>
    <w:rsid w:val="0018245C"/>
    <w:rsid w:val="00190AC1"/>
    <w:rsid w:val="0019341A"/>
    <w:rsid w:val="00195FFC"/>
    <w:rsid w:val="00197DF9"/>
    <w:rsid w:val="001A1987"/>
    <w:rsid w:val="001A2564"/>
    <w:rsid w:val="001A6173"/>
    <w:rsid w:val="001A6CBA"/>
    <w:rsid w:val="001B0D97"/>
    <w:rsid w:val="001B0FD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4BA"/>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742F"/>
    <w:rsid w:val="00331751"/>
    <w:rsid w:val="00334579"/>
    <w:rsid w:val="00335858"/>
    <w:rsid w:val="00336BDA"/>
    <w:rsid w:val="00342BD7"/>
    <w:rsid w:val="00346DB5"/>
    <w:rsid w:val="003477B1"/>
    <w:rsid w:val="00357380"/>
    <w:rsid w:val="003602D9"/>
    <w:rsid w:val="003604CE"/>
    <w:rsid w:val="003636BB"/>
    <w:rsid w:val="00370E47"/>
    <w:rsid w:val="003742AC"/>
    <w:rsid w:val="00377CE1"/>
    <w:rsid w:val="00385BF0"/>
    <w:rsid w:val="003939FF"/>
    <w:rsid w:val="0039681B"/>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147E"/>
    <w:rsid w:val="003D2478"/>
    <w:rsid w:val="003D3C45"/>
    <w:rsid w:val="003D5B1F"/>
    <w:rsid w:val="003E15FA"/>
    <w:rsid w:val="003E55E4"/>
    <w:rsid w:val="003E6C0B"/>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D9E"/>
    <w:rsid w:val="00413E92"/>
    <w:rsid w:val="00421105"/>
    <w:rsid w:val="00422AA4"/>
    <w:rsid w:val="004242F4"/>
    <w:rsid w:val="00427248"/>
    <w:rsid w:val="00432BB2"/>
    <w:rsid w:val="00437447"/>
    <w:rsid w:val="00441A92"/>
    <w:rsid w:val="004431DC"/>
    <w:rsid w:val="00444F56"/>
    <w:rsid w:val="00446488"/>
    <w:rsid w:val="004517AA"/>
    <w:rsid w:val="00452CAC"/>
    <w:rsid w:val="00457565"/>
    <w:rsid w:val="00457609"/>
    <w:rsid w:val="00457B71"/>
    <w:rsid w:val="00464618"/>
    <w:rsid w:val="004669E2"/>
    <w:rsid w:val="00470C31"/>
    <w:rsid w:val="00471DE0"/>
    <w:rsid w:val="004734D0"/>
    <w:rsid w:val="0047556B"/>
    <w:rsid w:val="00477768"/>
    <w:rsid w:val="00492BC5"/>
    <w:rsid w:val="004964F1"/>
    <w:rsid w:val="004A16BC"/>
    <w:rsid w:val="004A2B94"/>
    <w:rsid w:val="004B2F6B"/>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19D"/>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636E"/>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5E58"/>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26C"/>
    <w:rsid w:val="006817C9"/>
    <w:rsid w:val="00683ECE"/>
    <w:rsid w:val="00695FC2"/>
    <w:rsid w:val="00696949"/>
    <w:rsid w:val="00697052"/>
    <w:rsid w:val="006A46FB"/>
    <w:rsid w:val="006A5E28"/>
    <w:rsid w:val="006A697B"/>
    <w:rsid w:val="006A7AFF"/>
    <w:rsid w:val="006B1816"/>
    <w:rsid w:val="006B2099"/>
    <w:rsid w:val="006B4E13"/>
    <w:rsid w:val="006B50CF"/>
    <w:rsid w:val="006B7EE0"/>
    <w:rsid w:val="006C03B8"/>
    <w:rsid w:val="006C5EC9"/>
    <w:rsid w:val="006C6059"/>
    <w:rsid w:val="006C7522"/>
    <w:rsid w:val="006D1B63"/>
    <w:rsid w:val="006D6F08"/>
    <w:rsid w:val="006E062C"/>
    <w:rsid w:val="006E1C82"/>
    <w:rsid w:val="006E28B7"/>
    <w:rsid w:val="006E2A9B"/>
    <w:rsid w:val="006E3310"/>
    <w:rsid w:val="006E3E4C"/>
    <w:rsid w:val="006E4E39"/>
    <w:rsid w:val="006E565E"/>
    <w:rsid w:val="006E673D"/>
    <w:rsid w:val="006E79BA"/>
    <w:rsid w:val="006E7D3B"/>
    <w:rsid w:val="006F1B70"/>
    <w:rsid w:val="006F341D"/>
    <w:rsid w:val="006F3CDE"/>
    <w:rsid w:val="006F4A41"/>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156C"/>
    <w:rsid w:val="007571E1"/>
    <w:rsid w:val="00757A16"/>
    <w:rsid w:val="007604B2"/>
    <w:rsid w:val="00765150"/>
    <w:rsid w:val="00765281"/>
    <w:rsid w:val="00766BAD"/>
    <w:rsid w:val="00770B40"/>
    <w:rsid w:val="007729A2"/>
    <w:rsid w:val="00774505"/>
    <w:rsid w:val="007755F2"/>
    <w:rsid w:val="00776971"/>
    <w:rsid w:val="00780A80"/>
    <w:rsid w:val="0078177E"/>
    <w:rsid w:val="00782FB5"/>
    <w:rsid w:val="0078304C"/>
    <w:rsid w:val="00783673"/>
    <w:rsid w:val="0078515E"/>
    <w:rsid w:val="00785490"/>
    <w:rsid w:val="007925EA"/>
    <w:rsid w:val="00793CD8"/>
    <w:rsid w:val="00795C92"/>
    <w:rsid w:val="00796231"/>
    <w:rsid w:val="007A1CB3"/>
    <w:rsid w:val="007A306F"/>
    <w:rsid w:val="007A43A6"/>
    <w:rsid w:val="007A58A6"/>
    <w:rsid w:val="007A5A71"/>
    <w:rsid w:val="007B3D2D"/>
    <w:rsid w:val="007B50AE"/>
    <w:rsid w:val="007B51DF"/>
    <w:rsid w:val="007C05DD"/>
    <w:rsid w:val="007C3D18"/>
    <w:rsid w:val="007C60BF"/>
    <w:rsid w:val="007C6A07"/>
    <w:rsid w:val="007C75A1"/>
    <w:rsid w:val="007C77A5"/>
    <w:rsid w:val="007D04E5"/>
    <w:rsid w:val="007D3BA4"/>
    <w:rsid w:val="007D5901"/>
    <w:rsid w:val="007D7526"/>
    <w:rsid w:val="007E4610"/>
    <w:rsid w:val="007E4715"/>
    <w:rsid w:val="007E505B"/>
    <w:rsid w:val="007E7091"/>
    <w:rsid w:val="00803FAE"/>
    <w:rsid w:val="0080522C"/>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B47"/>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52C"/>
    <w:rsid w:val="008D34F1"/>
    <w:rsid w:val="008D39D8"/>
    <w:rsid w:val="008D6D1A"/>
    <w:rsid w:val="008E065E"/>
    <w:rsid w:val="008E0927"/>
    <w:rsid w:val="008E1909"/>
    <w:rsid w:val="008F1EAB"/>
    <w:rsid w:val="008F33DC"/>
    <w:rsid w:val="008F477F"/>
    <w:rsid w:val="00902350"/>
    <w:rsid w:val="0090336B"/>
    <w:rsid w:val="009053AA"/>
    <w:rsid w:val="00906939"/>
    <w:rsid w:val="009078D4"/>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681E"/>
    <w:rsid w:val="009572D4"/>
    <w:rsid w:val="00961921"/>
    <w:rsid w:val="0096264C"/>
    <w:rsid w:val="0096430A"/>
    <w:rsid w:val="0096554B"/>
    <w:rsid w:val="0096584A"/>
    <w:rsid w:val="0097014A"/>
    <w:rsid w:val="00971F08"/>
    <w:rsid w:val="0097603D"/>
    <w:rsid w:val="00976949"/>
    <w:rsid w:val="00980477"/>
    <w:rsid w:val="00985253"/>
    <w:rsid w:val="009853B3"/>
    <w:rsid w:val="00990630"/>
    <w:rsid w:val="00991761"/>
    <w:rsid w:val="00993CE2"/>
    <w:rsid w:val="00994DCA"/>
    <w:rsid w:val="009960EC"/>
    <w:rsid w:val="009970DD"/>
    <w:rsid w:val="009A0FBA"/>
    <w:rsid w:val="009A1601"/>
    <w:rsid w:val="009A3BB6"/>
    <w:rsid w:val="009A462D"/>
    <w:rsid w:val="009A5CBA"/>
    <w:rsid w:val="009A6FD1"/>
    <w:rsid w:val="009B1F30"/>
    <w:rsid w:val="009B3AC2"/>
    <w:rsid w:val="009B4DF4"/>
    <w:rsid w:val="009B564E"/>
    <w:rsid w:val="009B7E87"/>
    <w:rsid w:val="009C0169"/>
    <w:rsid w:val="009C403E"/>
    <w:rsid w:val="009D37B6"/>
    <w:rsid w:val="009D4FF0"/>
    <w:rsid w:val="009D5D0F"/>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366DF"/>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7A3E"/>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2444"/>
    <w:rsid w:val="00B93B59"/>
    <w:rsid w:val="00B9406A"/>
    <w:rsid w:val="00BA2280"/>
    <w:rsid w:val="00BA2A08"/>
    <w:rsid w:val="00BA56D2"/>
    <w:rsid w:val="00BA6DF3"/>
    <w:rsid w:val="00BA76E0"/>
    <w:rsid w:val="00BB2A25"/>
    <w:rsid w:val="00BB2B6C"/>
    <w:rsid w:val="00BB51E9"/>
    <w:rsid w:val="00BC0FDC"/>
    <w:rsid w:val="00BC3053"/>
    <w:rsid w:val="00BC40B8"/>
    <w:rsid w:val="00BC4D2E"/>
    <w:rsid w:val="00BD2521"/>
    <w:rsid w:val="00BD44AB"/>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9CC"/>
    <w:rsid w:val="00C12107"/>
    <w:rsid w:val="00C14D4B"/>
    <w:rsid w:val="00C154BB"/>
    <w:rsid w:val="00C17ECD"/>
    <w:rsid w:val="00C215FC"/>
    <w:rsid w:val="00C268E6"/>
    <w:rsid w:val="00C279B5"/>
    <w:rsid w:val="00C27C45"/>
    <w:rsid w:val="00C3719D"/>
    <w:rsid w:val="00C37CB2"/>
    <w:rsid w:val="00C473A5"/>
    <w:rsid w:val="00C54995"/>
    <w:rsid w:val="00C54D41"/>
    <w:rsid w:val="00C60783"/>
    <w:rsid w:val="00C64672"/>
    <w:rsid w:val="00C667E9"/>
    <w:rsid w:val="00C70697"/>
    <w:rsid w:val="00C72093"/>
    <w:rsid w:val="00C72EF4"/>
    <w:rsid w:val="00C744FE"/>
    <w:rsid w:val="00C75D2F"/>
    <w:rsid w:val="00C767BE"/>
    <w:rsid w:val="00C76E3C"/>
    <w:rsid w:val="00C81568"/>
    <w:rsid w:val="00C86A6F"/>
    <w:rsid w:val="00C9027A"/>
    <w:rsid w:val="00C9068E"/>
    <w:rsid w:val="00C93814"/>
    <w:rsid w:val="00C93C4B"/>
    <w:rsid w:val="00C944AB"/>
    <w:rsid w:val="00C95B40"/>
    <w:rsid w:val="00CA1ED8"/>
    <w:rsid w:val="00CA6BE2"/>
    <w:rsid w:val="00CB1F63"/>
    <w:rsid w:val="00CB7170"/>
    <w:rsid w:val="00CC040E"/>
    <w:rsid w:val="00CC0656"/>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EAB"/>
    <w:rsid w:val="00D13135"/>
    <w:rsid w:val="00D13E4E"/>
    <w:rsid w:val="00D13EE0"/>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2E69"/>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6E1"/>
    <w:rsid w:val="00E110E7"/>
    <w:rsid w:val="00E11B20"/>
    <w:rsid w:val="00E17FA2"/>
    <w:rsid w:val="00E22330"/>
    <w:rsid w:val="00E24602"/>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5C8A"/>
    <w:rsid w:val="00E87822"/>
    <w:rsid w:val="00E90395"/>
    <w:rsid w:val="00E90E49"/>
    <w:rsid w:val="00E917F9"/>
    <w:rsid w:val="00E9291C"/>
    <w:rsid w:val="00E93FFE"/>
    <w:rsid w:val="00E94F8A"/>
    <w:rsid w:val="00EA7A41"/>
    <w:rsid w:val="00EA7A97"/>
    <w:rsid w:val="00EB077B"/>
    <w:rsid w:val="00EB4EA2"/>
    <w:rsid w:val="00EC16E2"/>
    <w:rsid w:val="00EC24D5"/>
    <w:rsid w:val="00EC27C6"/>
    <w:rsid w:val="00EC4207"/>
    <w:rsid w:val="00EC46B1"/>
    <w:rsid w:val="00EC5653"/>
    <w:rsid w:val="00EC71CE"/>
    <w:rsid w:val="00ED1006"/>
    <w:rsid w:val="00EE7618"/>
    <w:rsid w:val="00EE7DD5"/>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2528B"/>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6906"/>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EE7DD5"/>
    <w:pPr>
      <w:numPr>
        <w:numId w:val="9"/>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unhideWhenUsed/>
    <w:rsid w:val="00A366DF"/>
    <w:pPr>
      <w:overflowPunct/>
      <w:autoSpaceDE/>
      <w:autoSpaceDN/>
      <w:adjustRightInd/>
      <w:spacing w:before="100" w:beforeAutospacing="1" w:after="100" w:afterAutospacing="1"/>
      <w:textAlignment w:val="auto"/>
    </w:pPr>
    <w:rPr>
      <w:sz w:val="24"/>
      <w:szCs w:val="24"/>
      <w:lang w:val="en-SE" w:eastAsia="en-SE"/>
    </w:rPr>
  </w:style>
  <w:style w:type="paragraph" w:customStyle="1" w:styleId="western">
    <w:name w:val="western"/>
    <w:basedOn w:val="Normal"/>
    <w:rsid w:val="00A366DF"/>
    <w:pPr>
      <w:overflowPunct/>
      <w:autoSpaceDE/>
      <w:autoSpaceDN/>
      <w:adjustRightInd/>
      <w:spacing w:before="100" w:beforeAutospacing="1" w:after="100" w:afterAutospacing="1"/>
      <w:textAlignment w:val="auto"/>
    </w:pPr>
    <w:rPr>
      <w:sz w:val="24"/>
      <w:szCs w:val="24"/>
      <w:lang w:val="en-SE"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77996">
      <w:bodyDiv w:val="1"/>
      <w:marLeft w:val="0"/>
      <w:marRight w:val="0"/>
      <w:marTop w:val="0"/>
      <w:marBottom w:val="0"/>
      <w:divBdr>
        <w:top w:val="none" w:sz="0" w:space="0" w:color="auto"/>
        <w:left w:val="none" w:sz="0" w:space="0" w:color="auto"/>
        <w:bottom w:val="none" w:sz="0" w:space="0" w:color="auto"/>
        <w:right w:val="none" w:sz="0" w:space="0" w:color="auto"/>
      </w:divBdr>
    </w:div>
    <w:div w:id="103023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145</TotalTime>
  <Pages>2</Pages>
  <Words>888</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Rapporteur</cp:lastModifiedBy>
  <cp:revision>70</cp:revision>
  <cp:lastPrinted>2008-01-31T07:09:00Z</cp:lastPrinted>
  <dcterms:created xsi:type="dcterms:W3CDTF">2022-06-23T13:54:00Z</dcterms:created>
  <dcterms:modified xsi:type="dcterms:W3CDTF">2022-09-30T10:02:00Z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